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>10-2. СПЕЦИАЛЬНЫЕ СРЕДСТВА ИЗМЕРЕНИЯ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При режимной наладке и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ис-пытании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теплотехнического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обо¬рудования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приходится измерять расход, скорость, давление,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тем¬пературу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 состав продуктов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го¬рения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 газообразного топлива, тепловой поток и другие вели-чины, характеризующие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протека¬ние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физических процессов.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Кро¬ме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стандартных приборов и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ме¬тодов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>, применяются специальные средства и методы измерений.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Для измерения расхода жидкостей (при расходах до 3 т/ч) и тарировки сужающих устройств при испытании могут 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>приме-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няться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мерные баки. На рис. 10-1 показана схема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двухкамер-ного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бака с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тарировочным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устройством. Мерный бак состоит из двух камер 2 и 6, разделенных перегородкой 5. Жидкость через сливное отверстие //, закрываемое клапаном, поступает в расходный бак 12. Камеры мерного бака и расходный бак имеют указатели уровня /, 10, 13. Для стабилизации уровня в каждой камере установлены успокоители 3 и 7, позволяющие произвести отсчет. Поступление жидкости в камеры мерного бака осуществляется по перекидному лотку 4. Для тарировки мерного бака на весы 9 устанавливается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тарировочный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бак 8. Для измерения расхода воды открытые мерные баки можно применять при температуре воды не более 40 — 45 °С. При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та¬рировке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 измерении расхода воды следует вводить поправку на ее испарение. При определении расхода жидкости и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тари¬ровке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для введения температ</w:t>
      </w:r>
      <w:r>
        <w:rPr>
          <w:rFonts w:ascii="Times New Roman" w:hAnsi="Times New Roman" w:cs="Times New Roman"/>
          <w:sz w:val="28"/>
          <w:szCs w:val="28"/>
        </w:rPr>
        <w:t>урных поправок необходимо изме</w:t>
      </w:r>
      <w:r w:rsidRPr="001C66E2">
        <w:rPr>
          <w:rFonts w:ascii="Times New Roman" w:hAnsi="Times New Roman" w:cs="Times New Roman"/>
          <w:sz w:val="28"/>
          <w:szCs w:val="28"/>
        </w:rPr>
        <w:t xml:space="preserve">рять температуру жидкости в мерном баке и около средней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ча-сти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указательного стекла.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Массовый расход жидкости (в 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1C66E2">
        <w:rPr>
          <w:rFonts w:ascii="Times New Roman" w:hAnsi="Times New Roman" w:cs="Times New Roman"/>
          <w:sz w:val="28"/>
          <w:szCs w:val="28"/>
        </w:rPr>
        <w:t>/ч)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985EC7">
            <wp:extent cx="4066540" cy="39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54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рт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— плотность жидкости при измерении и тарировке, кг/м3;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Pi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— температурный Коэффициент материала бака (для стали |3i = 12-10-6 К-1);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Рг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— то же для материала шкалы водоуказательного стекла (для шкалы из латуни р2 = 19 -10—6 Кг1); ТУ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ТУ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— температура жидкости при измерении в баке и около средней части указательного стекла, К;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Тт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>, ТУ — темпе-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ратура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жидкости при тарировке в баке и около средней части указательного стекла, К; GM' — массовый расход жидкости с поправкой на испарение, кг/ч.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>При измерении расхода жидкого топлива его плотность оп-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ределяется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ареометром, весами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Вестфаля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или пикнометром при температуре 293 К- Приведение плотности (в кг/м3) к тем-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пературе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>, отличающейся от 293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1C66E2">
        <w:rPr>
          <w:rFonts w:ascii="Times New Roman" w:hAnsi="Times New Roman" w:cs="Times New Roman"/>
          <w:sz w:val="28"/>
          <w:szCs w:val="28"/>
        </w:rPr>
        <w:t>, производится по формулам:</w:t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27E455">
            <wp:extent cx="4066540" cy="600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54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где р— 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>те</w:t>
      </w:r>
      <w:proofErr w:type="gramEnd"/>
      <w:r w:rsidRPr="001C66E2">
        <w:rPr>
          <w:rFonts w:ascii="Times New Roman" w:hAnsi="Times New Roman" w:cs="Times New Roman"/>
          <w:sz w:val="28"/>
          <w:szCs w:val="28"/>
        </w:rPr>
        <w:t>мпературный коэффициент, принимаемый из табл. 10-1.</w:t>
      </w:r>
    </w:p>
    <w:p w:rsid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9D608B">
            <wp:extent cx="4228465" cy="2200275"/>
            <wp:effectExtent l="0" t="0" r="63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465" cy="220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66E2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Для измерения расходов при испытании широко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применя-ются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дроссельные расходомеры, состоящие из стандартного сужающего устройства и дифференциального манометра. </w:t>
      </w:r>
      <w:proofErr w:type="spellStart"/>
      <w:proofErr w:type="gramStart"/>
      <w:r w:rsidRPr="001C66E2">
        <w:rPr>
          <w:rFonts w:ascii="Times New Roman" w:hAnsi="Times New Roman" w:cs="Times New Roman"/>
          <w:sz w:val="28"/>
          <w:szCs w:val="28"/>
        </w:rPr>
        <w:t>Изго-товление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и установка стандартных сужающих устройств (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диаф-рагм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 сопл) регламентировано «Правилами 28-64». В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усло¬виях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испытаний не всегда имеется возможность выполнить требования этих «Правил». Диафрагмы, выполненные с 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>отступ-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лением</w:t>
      </w:r>
      <w:proofErr w:type="spellEnd"/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 от  «Правил»,  требуют специальной градуировки.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66E2">
        <w:rPr>
          <w:rFonts w:ascii="Times New Roman" w:hAnsi="Times New Roman" w:cs="Times New Roman"/>
          <w:sz w:val="28"/>
          <w:szCs w:val="28"/>
        </w:rPr>
        <w:t xml:space="preserve">использования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градуировочных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кривых при измерении потоков в условиях, отличающихся от условий, при которых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произво¬дилась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градуировка (состав, температура, давление),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приме¬няют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методику обобщенной градуировки. Она основана на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за¬висимости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EuRe2 = f(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>). Эта зависимость представляет собой обобщенную связь между перепадом давления на диафрагме и средней скоростью потока:</w:t>
      </w:r>
    </w:p>
    <w:p w:rsidR="001C66E2" w:rsidRPr="001C66E2" w:rsidRDefault="001C66E2" w:rsidP="001C66E2">
      <w:pPr>
        <w:spacing w:after="0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D640BE" wp14:editId="0A7E9903">
            <wp:extent cx="1628775" cy="409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D1677F" w:rsidRPr="001C66E2" w:rsidRDefault="001C66E2" w:rsidP="001C66E2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C66E2">
        <w:rPr>
          <w:rFonts w:ascii="Times New Roman" w:hAnsi="Times New Roman" w:cs="Times New Roman"/>
          <w:sz w:val="28"/>
          <w:szCs w:val="28"/>
        </w:rPr>
        <w:t xml:space="preserve">где Ар — перепад давления на диафрагме, Па; d — диаметр дроссельного отверстия диафрагмы, м; </w:t>
      </w:r>
      <w:proofErr w:type="gramStart"/>
      <w:r w:rsidRPr="001C66E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C66E2">
        <w:rPr>
          <w:rFonts w:ascii="Times New Roman" w:hAnsi="Times New Roman" w:cs="Times New Roman"/>
          <w:sz w:val="28"/>
          <w:szCs w:val="28"/>
        </w:rPr>
        <w:t xml:space="preserve"> — плотность среды, кг/м3; v — кинематическая вязкость, м2/с; а&gt;ор — средняя </w:t>
      </w:r>
      <w:proofErr w:type="spellStart"/>
      <w:r w:rsidRPr="001C66E2">
        <w:rPr>
          <w:rFonts w:ascii="Times New Roman" w:hAnsi="Times New Roman" w:cs="Times New Roman"/>
          <w:sz w:val="28"/>
          <w:szCs w:val="28"/>
        </w:rPr>
        <w:t>ско-рость</w:t>
      </w:r>
      <w:proofErr w:type="spellEnd"/>
      <w:r w:rsidRPr="001C66E2">
        <w:rPr>
          <w:rFonts w:ascii="Times New Roman" w:hAnsi="Times New Roman" w:cs="Times New Roman"/>
          <w:sz w:val="28"/>
          <w:szCs w:val="28"/>
        </w:rPr>
        <w:t xml:space="preserve"> потока, м/с.</w:t>
      </w:r>
    </w:p>
    <w:sectPr w:rsidR="00D1677F" w:rsidRPr="001C6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E2"/>
    <w:rsid w:val="001C66E2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6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66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6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66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2017-09-29T13:27:00Z</dcterms:created>
  <dcterms:modified xsi:type="dcterms:W3CDTF">2017-09-29T13:30:00Z</dcterms:modified>
</cp:coreProperties>
</file>